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AD8A3B6" w:rsidR="00093CA9" w:rsidRDefault="005D3965" w:rsidP="00093CA9">
            <w:r w:rsidRPr="005D3965">
              <w:t>UAE Principes for effective management of climate-related financial risks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CAC2AF0" w:rsidR="00093CA9" w:rsidRDefault="001E5908" w:rsidP="00093CA9">
            <w:hyperlink r:id="rId19" w:history="1">
              <w:r w:rsidRPr="0008590F">
                <w:rPr>
                  <w:rStyle w:val="Hyperlink"/>
                </w:rPr>
                <w:t>https://rulebook.centralbank.ae/en/rulebook/principles-effective-management-climate-related-financial-risks</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6B29D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6D10B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AC14B1C" w:rsidR="00093CA9" w:rsidRDefault="005D396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4F9D76D" w:rsidR="00093CA9" w:rsidRDefault="00983C2B" w:rsidP="00093CA9">
            <w:r w:rsidRPr="00983C2B">
              <w:t>This policy tool was created by the UAE Sustainable Finance Working Group and sets out</w:t>
            </w:r>
            <w:r>
              <w:t xml:space="preserve"> the </w:t>
            </w:r>
            <w:r w:rsidRPr="00983C2B">
              <w:t xml:space="preserve">principles </w:t>
            </w:r>
            <w:r>
              <w:t xml:space="preserve">for the safe and prudent governance and risk management of climate-related financial risks by financial sector </w:t>
            </w:r>
            <w:r w:rsidRPr="00983C2B">
              <w:t>entities</w:t>
            </w:r>
            <w:r>
              <w:t xml:space="preserve"> operating in the UAE</w:t>
            </w:r>
            <w:r w:rsidRPr="00983C2B">
              <w:t xml:space="preserve">. </w:t>
            </w:r>
            <w:r w:rsidR="00757F8D" w:rsidRPr="00757F8D">
              <w:t>The Principles cover aspects such as management responsibilities, monitoring, reporting, and stress testing</w:t>
            </w:r>
            <w:r w:rsidR="00757F8D">
              <w:t>.</w:t>
            </w:r>
            <w:r w:rsidR="00757F8D" w:rsidRPr="00757F8D">
              <w:t xml:space="preserve"> </w:t>
            </w:r>
            <w:r>
              <w:t>These Principles have been adopted by the regulators in DIFC and ADGM.</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B84857E" w:rsidR="00093CA9" w:rsidRDefault="002163A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598AAD9" w:rsidR="00093CA9" w:rsidRPr="00173D7C" w:rsidRDefault="002163AB"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1855A3C" w:rsidR="00093CA9" w:rsidRDefault="00840BCC" w:rsidP="00093CA9">
            <w:r>
              <w:t>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5E46C98" w:rsidR="00093CA9" w:rsidRPr="006B7B0D" w:rsidRDefault="002163AB" w:rsidP="00093CA9">
            <w:r w:rsidRPr="002163AB">
              <w:t>UAE Sustainable Finance Working Group</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3E38C7B" w:rsidR="00093CA9" w:rsidRPr="006B7B0D" w:rsidRDefault="00840BCC"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A897AC6" w:rsidR="00093CA9" w:rsidRDefault="002F0A85"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1737D18D" w:rsidR="00CF5268" w:rsidRDefault="002F0A85"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06A7D87A"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028779D"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5B81C42F"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1C502C8C"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4AC9B8CC"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E590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E5908" w:rsidRDefault="00107CE2" w:rsidP="00DD3144">
            <w:pPr>
              <w:rPr>
                <w:lang w:val="fr-FR"/>
              </w:rPr>
            </w:pPr>
            <w:r w:rsidRPr="001E5908">
              <w:rPr>
                <w:lang w:val="fr-FR"/>
              </w:rPr>
              <w:t>Minimum revenue (Enter minimum revenue)</w:t>
            </w:r>
          </w:p>
        </w:tc>
        <w:tc>
          <w:tcPr>
            <w:tcW w:w="4910" w:type="dxa"/>
            <w:gridSpan w:val="7"/>
            <w:shd w:val="clear" w:color="auto" w:fill="auto"/>
            <w:vAlign w:val="center"/>
          </w:tcPr>
          <w:p w14:paraId="2518BD70" w14:textId="77777777" w:rsidR="00524D54" w:rsidRPr="001E5908"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7C33DF4"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82C9D4B"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29B366A"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E590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E5908" w:rsidRDefault="004F276F" w:rsidP="00C37D48">
            <w:pPr>
              <w:rPr>
                <w:rFonts w:ascii="Calibri" w:hAnsi="Calibri" w:cs="Calibri"/>
                <w:lang w:val="fr-FR"/>
              </w:rPr>
            </w:pPr>
            <w:r w:rsidRPr="001E5908">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E5908"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E590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E5908" w:rsidRDefault="00C66EE0" w:rsidP="00610F28">
            <w:pPr>
              <w:rPr>
                <w:rFonts w:ascii="Calibri" w:hAnsi="Calibri" w:cs="Calibri"/>
                <w:lang w:val="fr-FR"/>
              </w:rPr>
            </w:pPr>
            <w:r w:rsidRPr="001E5908">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E5908"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83C2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83C2B" w:rsidRDefault="00092534" w:rsidP="00CF2E7C">
            <w:pPr>
              <w:rPr>
                <w:rFonts w:ascii="Calibri" w:hAnsi="Calibri" w:cs="Calibri"/>
                <w:lang w:val="fr-FR"/>
              </w:rPr>
            </w:pPr>
            <w:r w:rsidRPr="00983C2B">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83C2B"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57835720" w:rsidR="00D4323A" w:rsidRPr="00CF2E7C" w:rsidRDefault="00757F8D"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64B23F90" w:rsidR="00DD292A" w:rsidRPr="00CF2E7C" w:rsidRDefault="00757F8D"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253D6875" w:rsidR="00DD292A" w:rsidRPr="00CF2E7C" w:rsidRDefault="00757F8D"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3FDD0E9F" w:rsidR="00DD292A" w:rsidRPr="00CF2E7C" w:rsidRDefault="00757F8D"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1E86B37E" w:rsidR="00DD292A" w:rsidRPr="00CF2E7C" w:rsidRDefault="00757F8D"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30A0B86C" w:rsidR="00DD292A" w:rsidRPr="00CF2E7C" w:rsidRDefault="00757F8D"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83C2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83C2B" w:rsidRDefault="00DD292A" w:rsidP="00CF2E7C">
            <w:pPr>
              <w:rPr>
                <w:rFonts w:ascii="Calibri" w:hAnsi="Calibri" w:cs="Calibri"/>
                <w:lang w:val="fr-FR"/>
              </w:rPr>
            </w:pPr>
            <w:r w:rsidRPr="00983C2B">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83C2B"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20CFE44C" w:rsidR="00DD292A" w:rsidRPr="00CF2E7C" w:rsidRDefault="00757F8D"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2446588E" w:rsidR="00DD292A" w:rsidRPr="00CF2E7C" w:rsidRDefault="00757F8D" w:rsidP="00CF2E7C">
            <w:pPr>
              <w:rPr>
                <w:rFonts w:ascii="Calibri" w:hAnsi="Calibri" w:cs="Calibri"/>
              </w:rPr>
            </w:pPr>
            <w:r>
              <w:rPr>
                <w:rFonts w:ascii="Calibri" w:hAnsi="Calibri" w:cs="Calibri"/>
              </w:rPr>
              <w:t>Announcements were made by Dubai Financial Services Authority (</w:t>
            </w:r>
            <w:proofErr w:type="spellStart"/>
            <w:r>
              <w:rPr>
                <w:rFonts w:ascii="Calibri" w:hAnsi="Calibri" w:cs="Calibri"/>
              </w:rPr>
              <w:t>DFSA</w:t>
            </w:r>
            <w:proofErr w:type="spellEnd"/>
            <w:r>
              <w:rPr>
                <w:rFonts w:ascii="Calibri" w:hAnsi="Calibri" w:cs="Calibri"/>
              </w:rPr>
              <w:t>) and Financial Services Regulatory Authority (</w:t>
            </w:r>
            <w:proofErr w:type="spellStart"/>
            <w:r>
              <w:rPr>
                <w:rFonts w:ascii="Calibri" w:hAnsi="Calibri" w:cs="Calibri"/>
              </w:rPr>
              <w:t>FSRA</w:t>
            </w:r>
            <w:proofErr w:type="spellEnd"/>
            <w:r>
              <w:rPr>
                <w:rFonts w:ascii="Calibri" w:hAnsi="Calibri" w:cs="Calibri"/>
              </w:rPr>
              <w:t>) that they had adopted the Principles into DIFC and ADGM.</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4975615"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CCE1755" w:rsidR="00DD292A" w:rsidRPr="00CF2E7C" w:rsidRDefault="00757F8D"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961D817" w:rsidR="00410853" w:rsidRPr="00CF2E7C" w:rsidRDefault="00757F8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77428CCD" w:rsidR="00410853"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4F209739" w:rsidR="00410853"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0563E33" w:rsidR="00F632FB"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79CF1DB" w:rsidR="00F632FB"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5AF75BC3" w:rsidR="00F632FB"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E8835C2" w:rsidR="00F632FB"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A833F3A" w:rsidR="008C4722"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081D4F31" w:rsidR="008C4722"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6773CA57" w:rsidR="008C4722"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0DCBF906" w:rsidR="008C4722" w:rsidRPr="00CF2E7C" w:rsidRDefault="00357C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Liability risk</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9CAAEC" w14:textId="77777777" w:rsidR="008C4722" w:rsidRPr="001F11D1" w:rsidRDefault="001F11D1" w:rsidP="00CF2E7C">
            <w:pPr>
              <w:textAlignment w:val="baseline"/>
              <w:rPr>
                <w:rFonts w:ascii="Calibri" w:eastAsia="Times New Roman" w:hAnsi="Calibri" w:cs="Calibri"/>
                <w:b/>
                <w:bCs/>
                <w:kern w:val="0"/>
                <w:lang w:eastAsia="en-GB"/>
                <w14:ligatures w14:val="none"/>
              </w:rPr>
            </w:pPr>
            <w:r w:rsidRPr="001F11D1">
              <w:rPr>
                <w:rFonts w:ascii="Calibri" w:eastAsia="Times New Roman" w:hAnsi="Calibri" w:cs="Calibri"/>
                <w:b/>
                <w:bCs/>
                <w:kern w:val="0"/>
                <w:lang w:eastAsia="en-GB"/>
                <w14:ligatures w14:val="none"/>
              </w:rPr>
              <w:t>Section C (General Considerations), Paragraphs 11 to 15 (inclusive):</w:t>
            </w:r>
          </w:p>
          <w:p w14:paraId="329C1FB0" w14:textId="2BFB7E29" w:rsidR="001F11D1" w:rsidRPr="001F11D1" w:rsidRDefault="001F11D1" w:rsidP="001F11D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11. </w:t>
            </w:r>
            <w:r w:rsidRPr="001F11D1">
              <w:rPr>
                <w:rFonts w:ascii="Calibri" w:eastAsia="Times New Roman" w:hAnsi="Calibri" w:cs="Calibri"/>
                <w:kern w:val="0"/>
                <w:lang w:eastAsia="en-GB"/>
                <w14:ligatures w14:val="none"/>
              </w:rPr>
              <w:t>Climate-related financial risk refers to the financial risks arising from climate change, including physical, transition and liability risks. Such risks could impact the viability and soundness of individual financial firms and have broader implications for financial stability.</w:t>
            </w:r>
          </w:p>
          <w:p w14:paraId="6B912D60" w14:textId="315AE178" w:rsidR="001F11D1" w:rsidRPr="001F11D1" w:rsidRDefault="001F11D1" w:rsidP="001F11D1">
            <w:pPr>
              <w:textAlignment w:val="baseline"/>
              <w:rPr>
                <w:rFonts w:ascii="Calibri" w:eastAsia="Times New Roman" w:hAnsi="Calibri" w:cs="Calibri"/>
                <w:kern w:val="0"/>
                <w:lang w:eastAsia="en-GB"/>
                <w14:ligatures w14:val="none"/>
              </w:rPr>
            </w:pPr>
            <w:r w:rsidRPr="001F11D1">
              <w:rPr>
                <w:rFonts w:ascii="Calibri" w:eastAsia="Times New Roman" w:hAnsi="Calibri" w:cs="Calibri"/>
                <w:kern w:val="0"/>
                <w:lang w:eastAsia="en-GB"/>
                <w14:ligatures w14:val="none"/>
              </w:rPr>
              <w:t>12.</w:t>
            </w:r>
            <w:r>
              <w:rPr>
                <w:rFonts w:ascii="Calibri" w:eastAsia="Times New Roman" w:hAnsi="Calibri" w:cs="Calibri"/>
                <w:kern w:val="0"/>
                <w:lang w:eastAsia="en-GB"/>
                <w14:ligatures w14:val="none"/>
              </w:rPr>
              <w:t xml:space="preserve"> </w:t>
            </w:r>
            <w:r w:rsidRPr="001F11D1">
              <w:rPr>
                <w:rFonts w:ascii="Calibri" w:eastAsia="Times New Roman" w:hAnsi="Calibri" w:cs="Calibri"/>
                <w:kern w:val="0"/>
                <w:lang w:eastAsia="en-GB"/>
                <w14:ligatures w14:val="none"/>
              </w:rPr>
              <w:t>Physical risk refers to potential economic and financial losses from climate and weather-related events and the long-term progressive impact of climate change.</w:t>
            </w:r>
          </w:p>
          <w:p w14:paraId="39FE679E" w14:textId="46F85BE1" w:rsidR="001F11D1" w:rsidRPr="001F11D1" w:rsidRDefault="001F11D1" w:rsidP="001F11D1">
            <w:pPr>
              <w:textAlignment w:val="baseline"/>
              <w:rPr>
                <w:rFonts w:ascii="Calibri" w:eastAsia="Times New Roman" w:hAnsi="Calibri" w:cs="Calibri"/>
                <w:kern w:val="0"/>
                <w:lang w:eastAsia="en-GB"/>
                <w14:ligatures w14:val="none"/>
              </w:rPr>
            </w:pPr>
            <w:r w:rsidRPr="001F11D1">
              <w:rPr>
                <w:rFonts w:ascii="Calibri" w:eastAsia="Times New Roman" w:hAnsi="Calibri" w:cs="Calibri"/>
                <w:kern w:val="0"/>
                <w:lang w:eastAsia="en-GB"/>
                <w14:ligatures w14:val="none"/>
              </w:rPr>
              <w:t>13.</w:t>
            </w:r>
            <w:r>
              <w:rPr>
                <w:rFonts w:ascii="Calibri" w:eastAsia="Times New Roman" w:hAnsi="Calibri" w:cs="Calibri"/>
                <w:kern w:val="0"/>
                <w:lang w:eastAsia="en-GB"/>
                <w14:ligatures w14:val="none"/>
              </w:rPr>
              <w:t xml:space="preserve"> </w:t>
            </w:r>
            <w:r w:rsidRPr="001F11D1">
              <w:rPr>
                <w:rFonts w:ascii="Calibri" w:eastAsia="Times New Roman" w:hAnsi="Calibri" w:cs="Calibri"/>
                <w:kern w:val="0"/>
                <w:lang w:eastAsia="en-GB"/>
                <w14:ligatures w14:val="none"/>
              </w:rPr>
              <w:t>Transition risk refers to the financial risk related to the process of adjustment towards a lower-carbon economy, which can be prompted by, for example, changes in climate policy, technological changes or change in market and social sentiments.</w:t>
            </w:r>
          </w:p>
          <w:p w14:paraId="170F4142" w14:textId="48329FA2" w:rsidR="001F11D1" w:rsidRPr="001F11D1" w:rsidRDefault="001F11D1" w:rsidP="001F11D1">
            <w:pPr>
              <w:textAlignment w:val="baseline"/>
              <w:rPr>
                <w:rFonts w:ascii="Calibri" w:eastAsia="Times New Roman" w:hAnsi="Calibri" w:cs="Calibri"/>
                <w:kern w:val="0"/>
                <w:lang w:eastAsia="en-GB"/>
                <w14:ligatures w14:val="none"/>
              </w:rPr>
            </w:pPr>
            <w:r w:rsidRPr="001F11D1">
              <w:rPr>
                <w:rFonts w:ascii="Calibri" w:eastAsia="Times New Roman" w:hAnsi="Calibri" w:cs="Calibri"/>
                <w:kern w:val="0"/>
                <w:lang w:eastAsia="en-GB"/>
                <w14:ligatures w14:val="none"/>
              </w:rPr>
              <w:t>14.</w:t>
            </w:r>
            <w:r>
              <w:rPr>
                <w:rFonts w:ascii="Calibri" w:eastAsia="Times New Roman" w:hAnsi="Calibri" w:cs="Calibri"/>
                <w:kern w:val="0"/>
                <w:lang w:eastAsia="en-GB"/>
                <w14:ligatures w14:val="none"/>
              </w:rPr>
              <w:t xml:space="preserve"> </w:t>
            </w:r>
            <w:r w:rsidRPr="001F11D1">
              <w:rPr>
                <w:rFonts w:ascii="Calibri" w:eastAsia="Times New Roman" w:hAnsi="Calibri" w:cs="Calibri"/>
                <w:kern w:val="0"/>
                <w:lang w:eastAsia="en-GB"/>
                <w14:ligatures w14:val="none"/>
              </w:rPr>
              <w:t>Liability risk refers to climate-related compensatory claims and/or direct legal actions against financial firms. Liability risk can be considered as a separate risk but can also be treated as a subset of physical and transition risks.</w:t>
            </w:r>
          </w:p>
          <w:p w14:paraId="39FC6AFA" w14:textId="244A3254" w:rsidR="001F11D1" w:rsidRPr="00CF2E7C" w:rsidRDefault="001F11D1" w:rsidP="001F11D1">
            <w:pPr>
              <w:textAlignment w:val="baseline"/>
              <w:rPr>
                <w:rFonts w:ascii="Calibri" w:eastAsia="Times New Roman" w:hAnsi="Calibri" w:cs="Calibri"/>
                <w:kern w:val="0"/>
                <w:lang w:eastAsia="en-GB"/>
                <w14:ligatures w14:val="none"/>
              </w:rPr>
            </w:pPr>
            <w:r w:rsidRPr="001F11D1">
              <w:rPr>
                <w:rFonts w:ascii="Calibri" w:eastAsia="Times New Roman" w:hAnsi="Calibri" w:cs="Calibri"/>
                <w:kern w:val="0"/>
                <w:lang w:eastAsia="en-GB"/>
                <w14:ligatures w14:val="none"/>
              </w:rPr>
              <w:t>15.</w:t>
            </w:r>
            <w:r>
              <w:rPr>
                <w:rFonts w:ascii="Calibri" w:eastAsia="Times New Roman" w:hAnsi="Calibri" w:cs="Calibri"/>
                <w:kern w:val="0"/>
                <w:lang w:eastAsia="en-GB"/>
                <w14:ligatures w14:val="none"/>
              </w:rPr>
              <w:t xml:space="preserve"> </w:t>
            </w:r>
            <w:r w:rsidRPr="001F11D1">
              <w:rPr>
                <w:rFonts w:ascii="Calibri" w:eastAsia="Times New Roman" w:hAnsi="Calibri" w:cs="Calibri"/>
                <w:kern w:val="0"/>
                <w:lang w:eastAsia="en-GB"/>
                <w14:ligatures w14:val="none"/>
              </w:rPr>
              <w:t>Climate-related financial risks are not bound by timelines and can emerge within the short, medium, and long-term. They can materialize through transmission channels in the balance sheets of financial firms and within the traditional categories of financial risks, including credit, market, operational, underwriting, reputational and liquidity risks.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DF24747" w:rsidR="008C4722" w:rsidRPr="00CF2E7C" w:rsidRDefault="00CC67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2A52723" w:rsidR="007B7DEE" w:rsidRPr="00CF2E7C" w:rsidRDefault="00CC67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54CDD438" w:rsidR="00ED7E12" w:rsidRPr="00CF2E7C" w:rsidRDefault="00A046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30790FD5" w:rsidR="00ED7E12" w:rsidRPr="00CF2E7C" w:rsidRDefault="00A046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only talks about internal monitoring and reporting of climate-related financial risks.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27C1B9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B5A5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AAADB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B5A5E">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4DE6F20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B5A5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2FE02A1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B5A5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45BAD6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B5A5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2BC2A2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B5A5E">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4F1E039" w:rsidR="00C82860" w:rsidRPr="00CF2E7C" w:rsidRDefault="004B5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2E33E165" w:rsidR="00C82860" w:rsidRPr="00CF2E7C" w:rsidRDefault="004B5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2FF01764" w:rsidR="00C82860" w:rsidRPr="00CF2E7C" w:rsidRDefault="004B5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4.8: </w:t>
            </w:r>
            <w:r w:rsidRPr="004B5A5E">
              <w:rPr>
                <w:rFonts w:ascii="Calibri" w:eastAsia="Times New Roman" w:hAnsi="Calibri" w:cs="Calibri"/>
                <w:kern w:val="0"/>
                <w:lang w:eastAsia="en-GB"/>
                <w14:ligatures w14:val="none"/>
              </w:rPr>
              <w:t>Where material climate-related financial risks are identified, financial firms should establish and implement plans to mitigate these risks and manage their exposures. Examples of such mitigation measures include establishing and enforcing sectoral or client-specific risk and relationship limits, including financial and durational; adjusting client engagement criteria; or applying haircuts to asset values, among others.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7CB7F2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5A5E">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04DA20E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5A5E">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3F2D5C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5A5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4A3E48B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5A5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791EEBCD" w:rsidR="00C82860" w:rsidRPr="00CF2E7C" w:rsidRDefault="004B5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4.8: </w:t>
            </w:r>
            <w:r w:rsidRPr="004B5A5E">
              <w:rPr>
                <w:rFonts w:ascii="Calibri" w:eastAsia="Times New Roman" w:hAnsi="Calibri" w:cs="Calibri"/>
                <w:kern w:val="0"/>
                <w:lang w:eastAsia="en-GB"/>
                <w14:ligatures w14:val="none"/>
              </w:rPr>
              <w:t xml:space="preserve">Where material climate-related financial risks are identified, financial firms should establish and implement plans to mitigate these risks and manage their exposures. Examples of such mitigation measures include establishing and enforcing </w:t>
            </w:r>
            <w:r w:rsidRPr="004B5A5E">
              <w:rPr>
                <w:rFonts w:ascii="Calibri" w:eastAsia="Times New Roman" w:hAnsi="Calibri" w:cs="Calibri"/>
                <w:b/>
                <w:bCs/>
                <w:kern w:val="0"/>
                <w:u w:val="single"/>
                <w:lang w:eastAsia="en-GB"/>
                <w14:ligatures w14:val="none"/>
              </w:rPr>
              <w:t>sectoral</w:t>
            </w:r>
            <w:r w:rsidRPr="004B5A5E">
              <w:rPr>
                <w:rFonts w:ascii="Calibri" w:eastAsia="Times New Roman" w:hAnsi="Calibri" w:cs="Calibri"/>
                <w:kern w:val="0"/>
                <w:lang w:eastAsia="en-GB"/>
                <w14:ligatures w14:val="none"/>
              </w:rPr>
              <w:t xml:space="preserve"> or client-specific risk and relationship limits, including financial and durational; adjusting client engagement criteria; or applying haircuts to asset values, among others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06AE7AA" w:rsidR="00655FF7" w:rsidRPr="00CF2E7C" w:rsidRDefault="004B5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2C69EA04" w:rsidR="003032A9"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117C7803"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5FEE34C2" w:rsidR="003D5104"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506AE8E4" w:rsidR="00BE1F9E"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7AC2E1F" w14:textId="1B55005E" w:rsidR="00D627A5" w:rsidRPr="00D627A5" w:rsidRDefault="00D627A5" w:rsidP="00D627A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w:t>
            </w:r>
            <w:r w:rsidRPr="00D627A5">
              <w:rPr>
                <w:rFonts w:ascii="Calibri" w:eastAsia="Times New Roman" w:hAnsi="Calibri" w:cs="Calibri"/>
                <w:kern w:val="0"/>
                <w:lang w:eastAsia="en-GB"/>
                <w14:ligatures w14:val="none"/>
              </w:rPr>
              <w:t>7.3</w:t>
            </w:r>
            <w:r>
              <w:rPr>
                <w:rFonts w:ascii="Calibri" w:eastAsia="Times New Roman" w:hAnsi="Calibri" w:cs="Calibri"/>
                <w:kern w:val="0"/>
                <w:lang w:eastAsia="en-GB"/>
                <w14:ligatures w14:val="none"/>
              </w:rPr>
              <w:t xml:space="preserve">: </w:t>
            </w:r>
            <w:r w:rsidRPr="00D627A5">
              <w:rPr>
                <w:rFonts w:ascii="Calibri" w:eastAsia="Times New Roman" w:hAnsi="Calibri" w:cs="Calibri"/>
                <w:kern w:val="0"/>
                <w:lang w:eastAsia="en-GB"/>
                <w14:ligatures w14:val="none"/>
              </w:rPr>
              <w:t>Financial firms should identify appropriate data inputs and suitable metrics to assess climate-related financial risks.</w:t>
            </w:r>
          </w:p>
          <w:p w14:paraId="61E45BAA" w14:textId="0E08E7D8" w:rsidR="00D627A5" w:rsidRPr="00D627A5" w:rsidRDefault="00D627A5" w:rsidP="00D627A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7.4: </w:t>
            </w:r>
            <w:r w:rsidRPr="00D627A5">
              <w:rPr>
                <w:rFonts w:ascii="Calibri" w:eastAsia="Times New Roman" w:hAnsi="Calibri" w:cs="Calibri"/>
                <w:kern w:val="0"/>
                <w:lang w:eastAsia="en-GB"/>
                <w14:ligatures w14:val="none"/>
              </w:rPr>
              <w:t>Scenarios should include a spectrum of plausible, relevant and severe climate pathways, and should cover the types of climate-related financial risks (physical, transition and/or liability risks) to which financial firms are exposed and that affect their businesses and risk profiles.</w:t>
            </w:r>
          </w:p>
          <w:p w14:paraId="5C18CF55" w14:textId="0BDBC94C" w:rsidR="00BE1F9E" w:rsidRPr="00CF2E7C" w:rsidRDefault="00D627A5" w:rsidP="00D627A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w:t>
            </w:r>
            <w:r w:rsidRPr="00D627A5">
              <w:rPr>
                <w:rFonts w:ascii="Calibri" w:eastAsia="Times New Roman" w:hAnsi="Calibri" w:cs="Calibri"/>
                <w:kern w:val="0"/>
                <w:lang w:eastAsia="en-GB"/>
                <w14:ligatures w14:val="none"/>
              </w:rPr>
              <w:t>7.5</w:t>
            </w:r>
            <w:r>
              <w:rPr>
                <w:rFonts w:ascii="Calibri" w:eastAsia="Times New Roman" w:hAnsi="Calibri" w:cs="Calibri"/>
                <w:kern w:val="0"/>
                <w:lang w:eastAsia="en-GB"/>
                <w14:ligatures w14:val="none"/>
              </w:rPr>
              <w:t xml:space="preserve">: </w:t>
            </w:r>
            <w:r w:rsidRPr="00D627A5">
              <w:rPr>
                <w:rFonts w:ascii="Calibri" w:eastAsia="Times New Roman" w:hAnsi="Calibri" w:cs="Calibri"/>
                <w:kern w:val="0"/>
                <w:lang w:eastAsia="en-GB"/>
                <w14:ligatures w14:val="none"/>
              </w:rPr>
              <w:t>Financial firms should conduct scenario analysis over a range of time horizons and assumptions while considering the benefits and limitations of such assumptions and the models. Short-term analysis is typically used to assess the impact on the firm’s risk profile and business operations, while longer-term analysis facilitates assessment of business models in light of shifts in economic and financial system structures</w:t>
            </w:r>
            <w:r>
              <w:rPr>
                <w:rFonts w:ascii="Calibri" w:eastAsia="Times New Roman" w:hAnsi="Calibri" w:cs="Calibri"/>
                <w:kern w:val="0"/>
                <w:lang w:eastAsia="en-GB"/>
                <w14:ligatures w14:val="none"/>
              </w:rPr>
              <w:t>.</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09C62515" w:rsidR="00DC31BF"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11893A26" w:rsidR="0098226E"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025BDF56" w:rsidR="0098226E"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w:t>
            </w:r>
            <w:r w:rsidRPr="00D627A5">
              <w:rPr>
                <w:rFonts w:ascii="Calibri" w:eastAsia="Times New Roman" w:hAnsi="Calibri" w:cs="Calibri"/>
                <w:kern w:val="0"/>
                <w:lang w:eastAsia="en-GB"/>
                <w14:ligatures w14:val="none"/>
              </w:rPr>
              <w:t>7.5</w:t>
            </w:r>
            <w:r>
              <w:rPr>
                <w:rFonts w:ascii="Calibri" w:eastAsia="Times New Roman" w:hAnsi="Calibri" w:cs="Calibri"/>
                <w:kern w:val="0"/>
                <w:lang w:eastAsia="en-GB"/>
                <w14:ligatures w14:val="none"/>
              </w:rPr>
              <w:t xml:space="preserve">: </w:t>
            </w:r>
            <w:r w:rsidRPr="00D627A5">
              <w:rPr>
                <w:rFonts w:ascii="Calibri" w:eastAsia="Times New Roman" w:hAnsi="Calibri" w:cs="Calibri"/>
                <w:kern w:val="0"/>
                <w:lang w:eastAsia="en-GB"/>
                <w14:ligatures w14:val="none"/>
              </w:rPr>
              <w:t>Financial firms should conduct scenario analysis over a range of time horizons and assumptions while considering the benefits and limitations of such assumptions and the models. Short-term analysis is typically used to assess the impact on the firm’s risk profile and business operations, while longer-term analysis facilitates assessment of business models in light of shifts in economic and financial system structures</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993A99B" w:rsidR="00F10A6E"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751BD271" w:rsidR="00F10A6E" w:rsidRPr="00CF2E7C" w:rsidRDefault="00D62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w:t>
            </w:r>
            <w:r w:rsidRPr="00D627A5">
              <w:rPr>
                <w:rFonts w:ascii="Calibri" w:eastAsia="Times New Roman" w:hAnsi="Calibri" w:cs="Calibri"/>
                <w:kern w:val="0"/>
                <w:lang w:eastAsia="en-GB"/>
                <w14:ligatures w14:val="none"/>
              </w:rPr>
              <w:t>7.5</w:t>
            </w:r>
            <w:r>
              <w:rPr>
                <w:rFonts w:ascii="Calibri" w:eastAsia="Times New Roman" w:hAnsi="Calibri" w:cs="Calibri"/>
                <w:kern w:val="0"/>
                <w:lang w:eastAsia="en-GB"/>
                <w14:ligatures w14:val="none"/>
              </w:rPr>
              <w:t xml:space="preserve">: </w:t>
            </w:r>
            <w:r w:rsidRPr="00D627A5">
              <w:rPr>
                <w:rFonts w:ascii="Calibri" w:eastAsia="Times New Roman" w:hAnsi="Calibri" w:cs="Calibri"/>
                <w:kern w:val="0"/>
                <w:lang w:eastAsia="en-GB"/>
                <w14:ligatures w14:val="none"/>
              </w:rPr>
              <w:t>Financial firms should conduct scenario analysis over a range of time horizons and assumptions while considering the benefits and limitations of such assumptions and the models. Short-term analysis is typically used to assess the impact on the firm’s risk profile and business operations, while longer-term analysis facilitates assessment of business models in light of shifts in economic and financial system structures</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21E40AFE" w:rsidR="00F26296" w:rsidRPr="00CF2E7C" w:rsidRDefault="006748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719CA7F3" w:rsidR="00F26296" w:rsidRPr="00CF2E7C" w:rsidRDefault="006748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1BF60F3B" w:rsidR="00F26296" w:rsidRPr="00CF2E7C" w:rsidRDefault="006748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7.6: </w:t>
            </w:r>
            <w:r w:rsidRPr="006748F7">
              <w:rPr>
                <w:rFonts w:ascii="Calibri" w:eastAsia="Times New Roman" w:hAnsi="Calibri" w:cs="Calibri"/>
                <w:kern w:val="0"/>
                <w:lang w:eastAsia="en-GB"/>
                <w14:ligatures w14:val="none"/>
              </w:rPr>
              <w:t>Financial firms should use the results of scenario analysis as an input to analysing the adequacy of their existing risk management framework, including designing and implementing actions that mitigate the impact of identified climate-related financial risks. Results of the stress tests should also be considered as part of the internal capital and liquidity adequacy assessment processes, as detailed under Principle 6.</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25D8F5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4EED">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F5B72A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4EED">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424B1437" w:rsidR="00F26296" w:rsidRPr="00CF2E7C" w:rsidRDefault="00664E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781CE61" w14:textId="4908579F" w:rsidR="00664EED" w:rsidRPr="00664EED" w:rsidRDefault="00664EED" w:rsidP="00664EE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w:t>
            </w:r>
            <w:r w:rsidRPr="00664EED">
              <w:rPr>
                <w:rFonts w:ascii="Calibri" w:eastAsia="Times New Roman" w:hAnsi="Calibri" w:cs="Calibri"/>
                <w:kern w:val="0"/>
                <w:lang w:eastAsia="en-GB"/>
                <w14:ligatures w14:val="none"/>
              </w:rPr>
              <w:t>6.1</w:t>
            </w:r>
            <w:r>
              <w:rPr>
                <w:rFonts w:ascii="Calibri" w:eastAsia="Times New Roman" w:hAnsi="Calibri" w:cs="Calibri"/>
                <w:kern w:val="0"/>
                <w:lang w:eastAsia="en-GB"/>
                <w14:ligatures w14:val="none"/>
              </w:rPr>
              <w:t xml:space="preserve">: </w:t>
            </w:r>
            <w:r w:rsidRPr="00664EED">
              <w:rPr>
                <w:rFonts w:ascii="Calibri" w:eastAsia="Times New Roman" w:hAnsi="Calibri" w:cs="Calibri"/>
                <w:kern w:val="0"/>
                <w:lang w:eastAsia="en-GB"/>
                <w14:ligatures w14:val="none"/>
              </w:rPr>
              <w:t>Relevant financial firms should develop processes to evaluate the liquidity, capital and solvency impact of climate-related financial risks that may manifest within specified time horizons.</w:t>
            </w:r>
          </w:p>
          <w:p w14:paraId="1CC49355" w14:textId="7F57472E" w:rsidR="00664EED" w:rsidRPr="00664EED" w:rsidRDefault="00664EED" w:rsidP="00664EE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w:t>
            </w:r>
            <w:r w:rsidRPr="00664EED">
              <w:rPr>
                <w:rFonts w:ascii="Calibri" w:eastAsia="Times New Roman" w:hAnsi="Calibri" w:cs="Calibri"/>
                <w:kern w:val="0"/>
                <w:lang w:eastAsia="en-GB"/>
                <w14:ligatures w14:val="none"/>
              </w:rPr>
              <w:t>6.2</w:t>
            </w:r>
            <w:r>
              <w:rPr>
                <w:rFonts w:ascii="Calibri" w:eastAsia="Times New Roman" w:hAnsi="Calibri" w:cs="Calibri"/>
                <w:kern w:val="0"/>
                <w:lang w:eastAsia="en-GB"/>
                <w14:ligatures w14:val="none"/>
              </w:rPr>
              <w:t xml:space="preserve">: </w:t>
            </w:r>
            <w:r w:rsidRPr="00664EED">
              <w:rPr>
                <w:rFonts w:ascii="Calibri" w:eastAsia="Times New Roman" w:hAnsi="Calibri" w:cs="Calibri"/>
                <w:kern w:val="0"/>
                <w:lang w:eastAsia="en-GB"/>
                <w14:ligatures w14:val="none"/>
              </w:rPr>
              <w:t>As part of their internal capital and liquidity adequacy assessment processes, relevant financial firms should consider climate-related financial risks that may impact their capital and liquidity positions over relevant time horizons (e.g., through their impact on traditional risk categories).</w:t>
            </w:r>
          </w:p>
          <w:p w14:paraId="1FDFE93C" w14:textId="77C63404" w:rsidR="00F26296" w:rsidRPr="00CF2E7C" w:rsidRDefault="00664EED" w:rsidP="00664EE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6.3: </w:t>
            </w:r>
            <w:r w:rsidRPr="00664EED">
              <w:rPr>
                <w:rFonts w:ascii="Calibri" w:eastAsia="Times New Roman" w:hAnsi="Calibri" w:cs="Calibri"/>
                <w:kern w:val="0"/>
                <w:lang w:eastAsia="en-GB"/>
                <w14:ligatures w14:val="none"/>
              </w:rPr>
              <w:t>For those financial firms required to complete an Internal Capital Adequacy Assessment Process (ICAAP), an Internal Liquidity Adequacy Assessment Process (</w:t>
            </w:r>
            <w:proofErr w:type="spellStart"/>
            <w:r w:rsidRPr="00664EED">
              <w:rPr>
                <w:rFonts w:ascii="Calibri" w:eastAsia="Times New Roman" w:hAnsi="Calibri" w:cs="Calibri"/>
                <w:kern w:val="0"/>
                <w:lang w:eastAsia="en-GB"/>
                <w14:ligatures w14:val="none"/>
              </w:rPr>
              <w:t>ILAAP</w:t>
            </w:r>
            <w:proofErr w:type="spellEnd"/>
            <w:r w:rsidRPr="00664EED">
              <w:rPr>
                <w:rFonts w:ascii="Calibri" w:eastAsia="Times New Roman" w:hAnsi="Calibri" w:cs="Calibri"/>
                <w:kern w:val="0"/>
                <w:lang w:eastAsia="en-GB"/>
                <w14:ligatures w14:val="none"/>
              </w:rPr>
              <w:t>), an Own Risk and Solvency Assessment (ORSA), or a similar process, climate-related financial risks should be incorporated into these frameworks to consider and record any material impact on capital and liquidity adequacy.</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6016393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4EED">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F9EC82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4EED">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9707434" w:rsidR="00B114FD" w:rsidRPr="00CF2E7C" w:rsidRDefault="00664E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A08B97C" w:rsidR="00B114FD" w:rsidRPr="00CF2E7C" w:rsidRDefault="007679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28DD133D" w:rsidR="00B114FD" w:rsidRPr="00CF2E7C" w:rsidRDefault="007679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6.3: </w:t>
            </w:r>
            <w:r w:rsidRPr="00767935">
              <w:rPr>
                <w:rFonts w:ascii="Calibri" w:eastAsia="Times New Roman" w:hAnsi="Calibri" w:cs="Calibri"/>
                <w:kern w:val="0"/>
                <w:lang w:eastAsia="en-GB"/>
                <w14:ligatures w14:val="none"/>
              </w:rPr>
              <w:t>For those financial firms required to complete an Internal Capital Adequacy Assessment Process (ICAAP), an Internal Liquidity Adequacy Assessment Process (</w:t>
            </w:r>
            <w:proofErr w:type="spellStart"/>
            <w:r w:rsidRPr="00767935">
              <w:rPr>
                <w:rFonts w:ascii="Calibri" w:eastAsia="Times New Roman" w:hAnsi="Calibri" w:cs="Calibri"/>
                <w:kern w:val="0"/>
                <w:lang w:eastAsia="en-GB"/>
                <w14:ligatures w14:val="none"/>
              </w:rPr>
              <w:t>ILAAP</w:t>
            </w:r>
            <w:proofErr w:type="spellEnd"/>
            <w:r w:rsidRPr="00767935">
              <w:rPr>
                <w:rFonts w:ascii="Calibri" w:eastAsia="Times New Roman" w:hAnsi="Calibri" w:cs="Calibri"/>
                <w:kern w:val="0"/>
                <w:lang w:eastAsia="en-GB"/>
                <w14:ligatures w14:val="none"/>
              </w:rPr>
              <w:t>), an Own Risk and Solvency Assessment (ORSA), or a similar process, climate-related financial risks should be incorporated into these frameworks to consider and record any material impact on capital and liquidity adequacy.</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0DEB0BE5" w:rsidR="00702413" w:rsidRPr="009C4D10" w:rsidRDefault="00E963E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E1AF04F" w:rsidR="00702413" w:rsidRPr="009C4D10" w:rsidRDefault="00E963E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Each relevant financial regulator within the UAE will implement this prudential policy tool in its relevant jurisdiction with its own amendments or additions.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A81E8DC" w:rsidR="00FE0EA5" w:rsidRPr="009C4D10" w:rsidRDefault="00FE0EA5" w:rsidP="00CF2E7C">
            <w:pPr>
              <w:rPr>
                <w:rFonts w:cstheme="minorHAnsi"/>
              </w:rPr>
            </w:pPr>
            <w:r w:rsidRPr="009C4D10">
              <w:rPr>
                <w:rFonts w:cstheme="minorHAnsi"/>
                <w:lang w:val="en-SG"/>
              </w:rPr>
              <w:t> </w:t>
            </w:r>
            <w:r w:rsidRPr="009C4D10">
              <w:rPr>
                <w:rFonts w:cstheme="minorHAnsi"/>
              </w:rPr>
              <w:t> </w:t>
            </w:r>
            <w:r w:rsidR="00E963E6">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4CEF19A" w:rsidR="00FE0EA5" w:rsidRPr="009C4D10" w:rsidRDefault="00FE0EA5" w:rsidP="00CF2E7C">
            <w:pPr>
              <w:rPr>
                <w:rFonts w:cstheme="minorHAnsi"/>
              </w:rPr>
            </w:pPr>
            <w:r w:rsidRPr="009C4D10">
              <w:rPr>
                <w:rFonts w:cstheme="minorHAnsi"/>
                <w:lang w:val="en-SG"/>
              </w:rPr>
              <w:t> </w:t>
            </w:r>
            <w:r w:rsidRPr="009C4D10">
              <w:rPr>
                <w:rFonts w:cstheme="minorHAnsi"/>
              </w:rPr>
              <w:t> </w:t>
            </w:r>
            <w:r w:rsidR="00E963E6">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26840896"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24A27BA" w:rsidR="00FE0EA5" w:rsidRPr="009C4D10" w:rsidRDefault="00FE0EA5" w:rsidP="00CF2E7C">
            <w:pPr>
              <w:rPr>
                <w:rFonts w:cstheme="minorHAnsi"/>
              </w:rPr>
            </w:pPr>
            <w:r w:rsidRPr="009C4D10">
              <w:rPr>
                <w:rFonts w:cstheme="minorHAnsi"/>
                <w:lang w:val="en-SG"/>
              </w:rPr>
              <w:t> </w:t>
            </w:r>
            <w:r w:rsidRPr="009C4D10">
              <w:rPr>
                <w:rFonts w:cstheme="minorHAnsi"/>
              </w:rPr>
              <w:t> </w:t>
            </w:r>
            <w:r w:rsidR="00E963E6">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61E2DE1D" w:rsidR="00FE0EA5" w:rsidRPr="009C4D10" w:rsidRDefault="00FE0EA5" w:rsidP="00CF2E7C">
            <w:pPr>
              <w:rPr>
                <w:rFonts w:cstheme="minorHAnsi"/>
              </w:rPr>
            </w:pPr>
            <w:r w:rsidRPr="009C4D10">
              <w:rPr>
                <w:rFonts w:cstheme="minorHAnsi"/>
                <w:lang w:val="en-SG"/>
              </w:rPr>
              <w:t> </w:t>
            </w:r>
            <w:r w:rsidRPr="009C4D10">
              <w:rPr>
                <w:rFonts w:cstheme="minorHAnsi"/>
              </w:rPr>
              <w:t> </w:t>
            </w:r>
            <w:r w:rsidR="00E963E6">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76FECAE" w:rsidR="00FE0EA5" w:rsidRPr="009C4D10" w:rsidRDefault="00FE0EA5" w:rsidP="00CF2E7C">
            <w:pPr>
              <w:rPr>
                <w:rFonts w:cstheme="minorHAnsi"/>
              </w:rPr>
            </w:pPr>
            <w:r w:rsidRPr="009C4D10">
              <w:rPr>
                <w:rFonts w:cstheme="minorHAnsi"/>
                <w:lang w:val="en-SG"/>
              </w:rPr>
              <w:t> </w:t>
            </w:r>
            <w:r w:rsidRPr="009C4D10">
              <w:rPr>
                <w:rFonts w:cstheme="minorHAnsi"/>
              </w:rPr>
              <w:t> </w:t>
            </w:r>
            <w:r w:rsidR="00E963E6">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BD7A97F" w:rsidR="00FE0EA5" w:rsidRPr="009C4D10" w:rsidRDefault="00FE0EA5" w:rsidP="00CF2E7C">
            <w:pPr>
              <w:rPr>
                <w:rFonts w:cstheme="minorHAnsi"/>
              </w:rPr>
            </w:pPr>
            <w:r w:rsidRPr="009C4D10">
              <w:rPr>
                <w:rFonts w:cstheme="minorHAnsi"/>
              </w:rPr>
              <w:t>  </w:t>
            </w:r>
            <w:r w:rsidR="00E963E6">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44B88DC" w14:textId="3E0A0DD2" w:rsidR="007A6DA9" w:rsidRDefault="007A6DA9" w:rsidP="00CF2E7C">
            <w:pPr>
              <w:rPr>
                <w:rFonts w:cstheme="minorHAnsi"/>
              </w:rPr>
            </w:pPr>
            <w:r w:rsidRPr="007A6DA9">
              <w:rPr>
                <w:rFonts w:cstheme="minorHAnsi"/>
              </w:rPr>
              <w:t>UAE Green Agenda 2015-2030</w:t>
            </w:r>
            <w:r w:rsidR="00B14652">
              <w:t xml:space="preserve"> </w:t>
            </w:r>
            <w:hyperlink r:id="rId22" w:history="1">
              <w:r w:rsidR="00B14652" w:rsidRPr="0008590F">
                <w:rPr>
                  <w:rStyle w:val="Hyperlink"/>
                  <w:rFonts w:cstheme="minorHAnsi"/>
                </w:rPr>
                <w:t>https://u.ae/en/about-the-uae/strategies-initiatives-and-awards/strategies-plans-and-visions/environment-and-energy/the-uaes-green-agenda-2030</w:t>
              </w:r>
            </w:hyperlink>
            <w:r w:rsidR="00B14652">
              <w:rPr>
                <w:rFonts w:cstheme="minorHAnsi"/>
              </w:rPr>
              <w:t xml:space="preserve"> </w:t>
            </w:r>
          </w:p>
          <w:p w14:paraId="4A3CB281" w14:textId="5D824F26" w:rsidR="007A6DA9" w:rsidRDefault="007A6DA9" w:rsidP="00CF2E7C">
            <w:pPr>
              <w:rPr>
                <w:rFonts w:cstheme="minorHAnsi"/>
              </w:rPr>
            </w:pPr>
            <w:r w:rsidRPr="007A6DA9">
              <w:rPr>
                <w:rFonts w:cstheme="minorHAnsi"/>
              </w:rPr>
              <w:t xml:space="preserve">National Climate Change Plan of the UAE 2017-2050 </w:t>
            </w:r>
            <w:hyperlink r:id="rId23" w:history="1">
              <w:r w:rsidR="00B14652" w:rsidRPr="0008590F">
                <w:rPr>
                  <w:rStyle w:val="Hyperlink"/>
                  <w:rFonts w:cstheme="minorHAnsi"/>
                </w:rPr>
                <w:t>https://www.moccae.gov.ae/assets/download/d3d90eba/National%20Climate%20Change%20Plan.pdf.aspx</w:t>
              </w:r>
            </w:hyperlink>
            <w:r w:rsidR="00B14652">
              <w:rPr>
                <w:rFonts w:cstheme="minorHAnsi"/>
              </w:rPr>
              <w:t xml:space="preserve"> </w:t>
            </w:r>
          </w:p>
          <w:p w14:paraId="2B5C2C42" w14:textId="21A00147" w:rsidR="00C01AF9" w:rsidRDefault="007A6DA9" w:rsidP="00CF2E7C">
            <w:pPr>
              <w:rPr>
                <w:rFonts w:cstheme="minorHAnsi"/>
              </w:rPr>
            </w:pPr>
            <w:r w:rsidRPr="007A6DA9">
              <w:rPr>
                <w:rFonts w:cstheme="minorHAnsi"/>
              </w:rPr>
              <w:t>UAE Net Zero by 2050 Strategic Initiative</w:t>
            </w:r>
            <w:r w:rsidR="00B14652">
              <w:t xml:space="preserve"> </w:t>
            </w:r>
            <w:hyperlink r:id="rId24" w:history="1">
              <w:r w:rsidR="00B14652" w:rsidRPr="0008590F">
                <w:rPr>
                  <w:rStyle w:val="Hyperlink"/>
                  <w:rFonts w:cstheme="minorHAnsi"/>
                </w:rPr>
                <w:t>https://u.ae/en/about-the-uae/strategies-initiatives-and-awards/strategies-plans-and-visions/environment-and-energy/the-uae-net-zero-2050-strategy</w:t>
              </w:r>
            </w:hyperlink>
            <w:r w:rsidR="00B14652">
              <w:rPr>
                <w:rFonts w:cstheme="minorHAnsi"/>
              </w:rPr>
              <w:t xml:space="preserve"> </w:t>
            </w:r>
          </w:p>
          <w:p w14:paraId="338005B5" w14:textId="2ACC235E" w:rsidR="007A6DA9" w:rsidRDefault="007A6DA9" w:rsidP="00CF2E7C">
            <w:pPr>
              <w:rPr>
                <w:rFonts w:cstheme="minorHAnsi"/>
              </w:rPr>
            </w:pPr>
            <w:r w:rsidRPr="007A6DA9">
              <w:rPr>
                <w:rFonts w:cstheme="minorHAnsi"/>
              </w:rPr>
              <w:t>Guiding Principles on Sustainable Finance in the UAE</w:t>
            </w:r>
            <w:r w:rsidR="00B14652">
              <w:t xml:space="preserve"> </w:t>
            </w:r>
            <w:hyperlink r:id="rId25" w:history="1">
              <w:r w:rsidR="00B14652" w:rsidRPr="0008590F">
                <w:rPr>
                  <w:rStyle w:val="Hyperlink"/>
                  <w:rFonts w:cstheme="minorHAnsi"/>
                </w:rPr>
                <w:t>https://assets.adgm.com/download/assets/Consultation+Paper+No+1+of+2023+Draft+Principles.pdf/d5ff8a127a4011efa4bf4213e715ec49</w:t>
              </w:r>
            </w:hyperlink>
            <w:r w:rsidR="00B14652">
              <w:rPr>
                <w:rFonts w:cstheme="minorHAnsi"/>
              </w:rPr>
              <w:t xml:space="preserve"> </w:t>
            </w:r>
          </w:p>
          <w:p w14:paraId="28E1FDE2" w14:textId="39014D76" w:rsidR="007A6DA9" w:rsidRDefault="007A6DA9" w:rsidP="00CF2E7C">
            <w:pPr>
              <w:rPr>
                <w:rFonts w:cstheme="minorHAnsi"/>
              </w:rPr>
            </w:pPr>
            <w:r>
              <w:rPr>
                <w:rFonts w:cstheme="minorHAnsi"/>
              </w:rPr>
              <w:t>P</w:t>
            </w:r>
            <w:r w:rsidRPr="007A6DA9">
              <w:rPr>
                <w:rFonts w:cstheme="minorHAnsi"/>
              </w:rPr>
              <w:t>rinciples for the effective management and supervision of climate-related financial risks from the Basel Committee on Banking Supervision (BCBS)</w:t>
            </w:r>
            <w:r w:rsidR="00B14652">
              <w:t xml:space="preserve"> </w:t>
            </w:r>
            <w:hyperlink r:id="rId26" w:history="1">
              <w:r w:rsidR="00B14652" w:rsidRPr="0008590F">
                <w:rPr>
                  <w:rStyle w:val="Hyperlink"/>
                  <w:rFonts w:cstheme="minorHAnsi"/>
                </w:rPr>
                <w:t>https://www.bis.org/bcbs/publ/d532.htm</w:t>
              </w:r>
            </w:hyperlink>
            <w:r w:rsidR="00B14652">
              <w:rPr>
                <w:rFonts w:cstheme="minorHAnsi"/>
              </w:rPr>
              <w:t xml:space="preserve"> </w:t>
            </w:r>
          </w:p>
          <w:p w14:paraId="3691AFE9" w14:textId="66F57800" w:rsidR="007A6DA9" w:rsidRDefault="007A6DA9" w:rsidP="00CF2E7C">
            <w:pPr>
              <w:rPr>
                <w:rFonts w:cstheme="minorHAnsi"/>
              </w:rPr>
            </w:pPr>
            <w:r>
              <w:rPr>
                <w:rFonts w:cstheme="minorHAnsi"/>
              </w:rPr>
              <w:t>G</w:t>
            </w:r>
            <w:r w:rsidRPr="007A6DA9">
              <w:rPr>
                <w:rFonts w:cstheme="minorHAnsi"/>
              </w:rPr>
              <w:t>uide for Supervisors Integrating climate-related and environmental risks into prudential supervision by the Network for Greening the Financial System</w:t>
            </w:r>
            <w:r w:rsidR="00B14652">
              <w:rPr>
                <w:rFonts w:cstheme="minorHAnsi"/>
              </w:rPr>
              <w:t xml:space="preserve"> </w:t>
            </w:r>
            <w:hyperlink r:id="rId27" w:history="1">
              <w:r w:rsidR="00B14652" w:rsidRPr="0008590F">
                <w:rPr>
                  <w:rStyle w:val="Hyperlink"/>
                  <w:rFonts w:cstheme="minorHAnsi"/>
                </w:rPr>
                <w:t>https://www.ngfs.net/sites/default/files/medias/documents/ngfs_guide_for_supervisors.pdf</w:t>
              </w:r>
            </w:hyperlink>
            <w:r w:rsidR="00B14652">
              <w:rPr>
                <w:rFonts w:cstheme="minorHAnsi"/>
              </w:rPr>
              <w:t xml:space="preserve"> </w:t>
            </w:r>
          </w:p>
          <w:p w14:paraId="0DE26BC0" w14:textId="5DF0D890" w:rsidR="007A6DA9" w:rsidRDefault="007A6DA9" w:rsidP="00CF2E7C">
            <w:pPr>
              <w:rPr>
                <w:rFonts w:cstheme="minorHAnsi"/>
              </w:rPr>
            </w:pPr>
            <w:r w:rsidRPr="007A6DA9">
              <w:rPr>
                <w:rFonts w:cstheme="minorHAnsi"/>
              </w:rPr>
              <w:t>BCBS – Climate-related financial risks: a survey on current initiatives</w:t>
            </w:r>
            <w:r w:rsidR="00B14652">
              <w:t xml:space="preserve"> </w:t>
            </w:r>
            <w:hyperlink r:id="rId28" w:history="1">
              <w:r w:rsidR="00B14652" w:rsidRPr="0008590F">
                <w:rPr>
                  <w:rStyle w:val="Hyperlink"/>
                  <w:rFonts w:cstheme="minorHAnsi"/>
                </w:rPr>
                <w:t>https://www.bis.org/bcbs/publ/d502.htm</w:t>
              </w:r>
            </w:hyperlink>
            <w:r w:rsidR="00B14652">
              <w:rPr>
                <w:rFonts w:cstheme="minorHAnsi"/>
              </w:rPr>
              <w:t xml:space="preserve"> </w:t>
            </w:r>
          </w:p>
          <w:p w14:paraId="57DA09AC" w14:textId="4DD4C757" w:rsidR="007A6DA9" w:rsidRDefault="007A6DA9" w:rsidP="00CF2E7C">
            <w:pPr>
              <w:rPr>
                <w:rFonts w:cstheme="minorHAnsi"/>
              </w:rPr>
            </w:pPr>
            <w:r w:rsidRPr="007A6DA9">
              <w:rPr>
                <w:rFonts w:cstheme="minorHAnsi"/>
              </w:rPr>
              <w:lastRenderedPageBreak/>
              <w:t>BCBS – Climate-related financial risks – measurement methodologies</w:t>
            </w:r>
            <w:r w:rsidR="00B14652">
              <w:rPr>
                <w:rFonts w:cstheme="minorHAnsi"/>
              </w:rPr>
              <w:t xml:space="preserve"> </w:t>
            </w:r>
            <w:hyperlink r:id="rId29" w:history="1">
              <w:r w:rsidR="00B14652" w:rsidRPr="0008590F">
                <w:rPr>
                  <w:rStyle w:val="Hyperlink"/>
                  <w:rFonts w:cstheme="minorHAnsi"/>
                </w:rPr>
                <w:t>https://www.bis.org/bcbs/publ/d518.htm</w:t>
              </w:r>
            </w:hyperlink>
            <w:r w:rsidR="00B14652">
              <w:rPr>
                <w:rFonts w:cstheme="minorHAnsi"/>
              </w:rPr>
              <w:t xml:space="preserve"> </w:t>
            </w:r>
          </w:p>
          <w:p w14:paraId="1282FB83" w14:textId="1019FBBA" w:rsidR="007A6DA9" w:rsidRDefault="007A6DA9" w:rsidP="00CF2E7C">
            <w:pPr>
              <w:rPr>
                <w:rFonts w:cstheme="minorHAnsi"/>
              </w:rPr>
            </w:pPr>
            <w:r w:rsidRPr="007A6DA9">
              <w:rPr>
                <w:rFonts w:cstheme="minorHAnsi"/>
              </w:rPr>
              <w:t xml:space="preserve">BCBS – Climate-related risk drivers and their transmission channels </w:t>
            </w:r>
            <w:hyperlink r:id="rId30" w:history="1">
              <w:r w:rsidR="00B14652" w:rsidRPr="0008590F">
                <w:rPr>
                  <w:rStyle w:val="Hyperlink"/>
                  <w:rFonts w:cstheme="minorHAnsi"/>
                </w:rPr>
                <w:t>https://www.bis.org/bcbs/publ/d517.pdf</w:t>
              </w:r>
            </w:hyperlink>
            <w:r w:rsidR="00B14652">
              <w:rPr>
                <w:rFonts w:cstheme="minorHAnsi"/>
              </w:rPr>
              <w:t xml:space="preserve"> </w:t>
            </w:r>
          </w:p>
          <w:p w14:paraId="448B6042" w14:textId="27144EF3" w:rsidR="007A6DA9" w:rsidRDefault="007A6DA9" w:rsidP="00CF2E7C">
            <w:pPr>
              <w:rPr>
                <w:rFonts w:cstheme="minorHAnsi"/>
              </w:rPr>
            </w:pPr>
            <w:r w:rsidRPr="007A6DA9">
              <w:rPr>
                <w:rFonts w:cstheme="minorHAnsi"/>
              </w:rPr>
              <w:t>BCBS – Frequently asked questions on climate-related financial risks</w:t>
            </w:r>
            <w:r w:rsidR="00B14652">
              <w:t xml:space="preserve"> </w:t>
            </w:r>
            <w:hyperlink r:id="rId31" w:history="1">
              <w:r w:rsidR="00B14652" w:rsidRPr="0008590F">
                <w:rPr>
                  <w:rStyle w:val="Hyperlink"/>
                  <w:rFonts w:cstheme="minorHAnsi"/>
                </w:rPr>
                <w:t>https://www.bis.org/bcbs/publ/d543.htm</w:t>
              </w:r>
            </w:hyperlink>
            <w:r w:rsidR="00B14652">
              <w:rPr>
                <w:rFonts w:cstheme="minorHAnsi"/>
              </w:rPr>
              <w:t xml:space="preserve"> </w:t>
            </w:r>
          </w:p>
          <w:p w14:paraId="430DD364" w14:textId="1B0D70D6" w:rsidR="007A6DA9" w:rsidRDefault="007A6DA9" w:rsidP="00CF2E7C">
            <w:pPr>
              <w:rPr>
                <w:rFonts w:cstheme="minorHAnsi"/>
              </w:rPr>
            </w:pPr>
            <w:r>
              <w:rPr>
                <w:rFonts w:cstheme="minorHAnsi"/>
              </w:rPr>
              <w:t>F</w:t>
            </w:r>
            <w:r w:rsidRPr="007A6DA9">
              <w:rPr>
                <w:rFonts w:cstheme="minorHAnsi"/>
              </w:rPr>
              <w:t>inancial Stability Board (FSB) – Supervisory and Regulatory Approaches to Climate-related risks</w:t>
            </w:r>
            <w:r w:rsidR="00EA79A5">
              <w:rPr>
                <w:rFonts w:cstheme="minorHAnsi"/>
              </w:rPr>
              <w:t xml:space="preserve"> </w:t>
            </w:r>
            <w:hyperlink r:id="rId32" w:history="1">
              <w:r w:rsidR="00EA79A5" w:rsidRPr="0008590F">
                <w:rPr>
                  <w:rStyle w:val="Hyperlink"/>
                  <w:rFonts w:cstheme="minorHAnsi"/>
                </w:rPr>
                <w:t>https://www.fsb.org/2022/10/supervisory-and-regulatory-approaches-to-climate-related-risks-final-report/</w:t>
              </w:r>
            </w:hyperlink>
            <w:r w:rsidR="00EA79A5">
              <w:rPr>
                <w:rFonts w:cstheme="minorHAnsi"/>
              </w:rPr>
              <w:t xml:space="preserve"> </w:t>
            </w:r>
          </w:p>
          <w:p w14:paraId="1929F3D9" w14:textId="6C3FBC83" w:rsidR="007A6DA9" w:rsidRDefault="007A6DA9" w:rsidP="00CF2E7C">
            <w:pPr>
              <w:rPr>
                <w:rFonts w:cstheme="minorHAnsi"/>
              </w:rPr>
            </w:pPr>
            <w:r w:rsidRPr="007A6DA9">
              <w:rPr>
                <w:rFonts w:cstheme="minorHAnsi"/>
              </w:rPr>
              <w:t>FSB and NGFS – Climate Scenario Analysis by Jurisdictions</w:t>
            </w:r>
            <w:r w:rsidR="00EA79A5">
              <w:rPr>
                <w:rFonts w:cstheme="minorHAnsi"/>
              </w:rPr>
              <w:t xml:space="preserve"> </w:t>
            </w:r>
            <w:hyperlink r:id="rId33" w:history="1">
              <w:r w:rsidR="00EA79A5" w:rsidRPr="0008590F">
                <w:rPr>
                  <w:rStyle w:val="Hyperlink"/>
                  <w:rFonts w:cstheme="minorHAnsi"/>
                </w:rPr>
                <w:t>https://www.fsb.org/uploads/P151122.pdf</w:t>
              </w:r>
            </w:hyperlink>
            <w:r w:rsidR="00EA79A5">
              <w:rPr>
                <w:rFonts w:cstheme="minorHAnsi"/>
              </w:rPr>
              <w:t xml:space="preserve"> </w:t>
            </w:r>
          </w:p>
          <w:p w14:paraId="73507A30" w14:textId="4ECB178B" w:rsidR="007A6DA9" w:rsidRDefault="007A6DA9" w:rsidP="00CF2E7C">
            <w:pPr>
              <w:rPr>
                <w:rFonts w:cstheme="minorHAnsi"/>
              </w:rPr>
            </w:pPr>
            <w:r w:rsidRPr="007A6DA9">
              <w:rPr>
                <w:rFonts w:cstheme="minorHAnsi"/>
              </w:rPr>
              <w:t>International Association of Insurance Supervisors – Application Paper on the Supervision of Climate-related Risks in the Insurance Sector</w:t>
            </w:r>
            <w:r w:rsidR="00EA79A5">
              <w:rPr>
                <w:rFonts w:cstheme="minorHAnsi"/>
              </w:rPr>
              <w:t xml:space="preserve"> </w:t>
            </w:r>
            <w:hyperlink r:id="rId34" w:history="1">
              <w:r w:rsidR="00EA79A5" w:rsidRPr="0008590F">
                <w:rPr>
                  <w:rStyle w:val="Hyperlink"/>
                  <w:rFonts w:cstheme="minorHAnsi"/>
                </w:rPr>
                <w:t>https://www.iais.org/uploads/2025/04/Application-Paper-on-the-supervision-of-climate-related-risks-in-the-insurance-sector.pdf</w:t>
              </w:r>
            </w:hyperlink>
            <w:r w:rsidR="00EA79A5">
              <w:rPr>
                <w:rFonts w:cstheme="minorHAnsi"/>
              </w:rPr>
              <w:t xml:space="preserve"> </w:t>
            </w:r>
          </w:p>
          <w:p w14:paraId="396F5096" w14:textId="48994EB1" w:rsidR="007A6DA9" w:rsidRDefault="007A6DA9" w:rsidP="00CF2E7C">
            <w:pPr>
              <w:rPr>
                <w:rFonts w:cstheme="minorHAnsi"/>
              </w:rPr>
            </w:pPr>
            <w:r w:rsidRPr="007A6DA9">
              <w:rPr>
                <w:rFonts w:cstheme="minorHAnsi"/>
              </w:rPr>
              <w:t>NGFS – Climate Scenarios</w:t>
            </w:r>
            <w:r w:rsidR="00EA79A5">
              <w:rPr>
                <w:rFonts w:cstheme="minorHAnsi"/>
              </w:rPr>
              <w:t xml:space="preserve"> </w:t>
            </w:r>
            <w:hyperlink r:id="rId35" w:history="1">
              <w:r w:rsidR="00EA79A5" w:rsidRPr="0008590F">
                <w:rPr>
                  <w:rStyle w:val="Hyperlink"/>
                  <w:rFonts w:cstheme="minorHAnsi"/>
                </w:rPr>
                <w:t>https://www.ngfs.net/en/publications-and-statistics/publications/ngfs-climate-scenarios-central-banks-and-supervisors-0</w:t>
              </w:r>
            </w:hyperlink>
            <w:r w:rsidR="00EA79A5">
              <w:rPr>
                <w:rFonts w:cstheme="minorHAnsi"/>
              </w:rPr>
              <w:t xml:space="preserve"> </w:t>
            </w:r>
          </w:p>
          <w:p w14:paraId="7478C0BE" w14:textId="79B9D33B" w:rsidR="007A6DA9" w:rsidRPr="009C4D10" w:rsidRDefault="007A6DA9" w:rsidP="00CF2E7C">
            <w:pPr>
              <w:rPr>
                <w:rFonts w:cstheme="minorHAnsi"/>
              </w:rPr>
            </w:pPr>
            <w:r>
              <w:rPr>
                <w:rFonts w:cstheme="minorHAnsi"/>
              </w:rPr>
              <w:t>N</w:t>
            </w:r>
            <w:r w:rsidRPr="007A6DA9">
              <w:rPr>
                <w:rFonts w:cstheme="minorHAnsi"/>
              </w:rPr>
              <w:t>GFS – Guide for Supervisors: Integrating climate-related and environmental risks into prudential supervision</w:t>
            </w:r>
            <w:r w:rsidR="00EA79A5">
              <w:rPr>
                <w:rFonts w:cstheme="minorHAnsi"/>
              </w:rPr>
              <w:t xml:space="preserve"> </w:t>
            </w:r>
            <w:hyperlink r:id="rId36" w:history="1">
              <w:r w:rsidR="00EA79A5" w:rsidRPr="0008590F">
                <w:rPr>
                  <w:rStyle w:val="Hyperlink"/>
                  <w:rFonts w:cstheme="minorHAnsi"/>
                </w:rPr>
                <w:t>https://www.ngfs.net/en/publications-and-statistics/publications/guide-supervisors-integrating-climate-related-and-environmental-risks-prudential-supervision</w:t>
              </w:r>
            </w:hyperlink>
            <w:r w:rsidR="00EA79A5">
              <w:rPr>
                <w:rFonts w:cstheme="minorHAnsi"/>
              </w:rPr>
              <w:t xml:space="preserve">  </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83C2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83C2B" w:rsidRDefault="002F0752" w:rsidP="00CF2E7C">
            <w:pPr>
              <w:rPr>
                <w:rFonts w:ascii="Calibri" w:hAnsi="Calibri" w:cs="Calibri"/>
                <w:lang w:val="fr-FR"/>
              </w:rPr>
            </w:pPr>
            <w:r w:rsidRPr="00983C2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83C2B"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B704EB" w14:textId="77777777" w:rsidR="00C225F1" w:rsidRDefault="00C225F1" w:rsidP="00874E39">
      <w:r>
        <w:separator/>
      </w:r>
    </w:p>
  </w:endnote>
  <w:endnote w:type="continuationSeparator" w:id="0">
    <w:p w14:paraId="3C572E10" w14:textId="77777777" w:rsidR="00C225F1" w:rsidRDefault="00C225F1" w:rsidP="00874E39">
      <w:r>
        <w:continuationSeparator/>
      </w:r>
    </w:p>
  </w:endnote>
  <w:endnote w:type="continuationNotice" w:id="1">
    <w:p w14:paraId="413F472E" w14:textId="77777777" w:rsidR="00C225F1" w:rsidRDefault="00C225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C8D67F" w14:textId="77777777" w:rsidR="00C225F1" w:rsidRDefault="00C225F1" w:rsidP="00874E39">
      <w:r>
        <w:separator/>
      </w:r>
    </w:p>
  </w:footnote>
  <w:footnote w:type="continuationSeparator" w:id="0">
    <w:p w14:paraId="203D1E1E" w14:textId="77777777" w:rsidR="00C225F1" w:rsidRDefault="00C225F1" w:rsidP="00874E39">
      <w:r>
        <w:continuationSeparator/>
      </w:r>
    </w:p>
  </w:footnote>
  <w:footnote w:type="continuationNotice" w:id="1">
    <w:p w14:paraId="51898E49" w14:textId="77777777" w:rsidR="00C225F1" w:rsidRDefault="00C225F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1279D4" w14:textId="77777777" w:rsidR="004B2503" w:rsidRDefault="004B25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9BCB02" w14:textId="77777777" w:rsidR="004B2503" w:rsidRDefault="004B25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6"/>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89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908"/>
    <w:rsid w:val="001E5EFB"/>
    <w:rsid w:val="001E63F2"/>
    <w:rsid w:val="001E7064"/>
    <w:rsid w:val="001E7C37"/>
    <w:rsid w:val="001E7EFB"/>
    <w:rsid w:val="001F028F"/>
    <w:rsid w:val="001F1106"/>
    <w:rsid w:val="001F11D1"/>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3AB"/>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A85"/>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57C3D"/>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095"/>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03"/>
    <w:rsid w:val="004B25C1"/>
    <w:rsid w:val="004B2D74"/>
    <w:rsid w:val="004B3C40"/>
    <w:rsid w:val="004B4203"/>
    <w:rsid w:val="004B5A5E"/>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4EED"/>
    <w:rsid w:val="00666CB6"/>
    <w:rsid w:val="00671EA4"/>
    <w:rsid w:val="006736BC"/>
    <w:rsid w:val="00673AD4"/>
    <w:rsid w:val="006746D5"/>
    <w:rsid w:val="006748F7"/>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F8D"/>
    <w:rsid w:val="007600D1"/>
    <w:rsid w:val="007615D2"/>
    <w:rsid w:val="00763C64"/>
    <w:rsid w:val="00764D1A"/>
    <w:rsid w:val="00764DB3"/>
    <w:rsid w:val="00765130"/>
    <w:rsid w:val="007653FB"/>
    <w:rsid w:val="0076706A"/>
    <w:rsid w:val="00767935"/>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6DA9"/>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CE2"/>
    <w:rsid w:val="008377D4"/>
    <w:rsid w:val="00840208"/>
    <w:rsid w:val="00840BCC"/>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C2B"/>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6AE"/>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652"/>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5F1"/>
    <w:rsid w:val="00C227D5"/>
    <w:rsid w:val="00C228DF"/>
    <w:rsid w:val="00C2454C"/>
    <w:rsid w:val="00C25F98"/>
    <w:rsid w:val="00C26867"/>
    <w:rsid w:val="00C27879"/>
    <w:rsid w:val="00C30240"/>
    <w:rsid w:val="00C3135C"/>
    <w:rsid w:val="00C3244D"/>
    <w:rsid w:val="00C33102"/>
    <w:rsid w:val="00C3337E"/>
    <w:rsid w:val="00C34977"/>
    <w:rsid w:val="00C34992"/>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71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999"/>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7A5"/>
    <w:rsid w:val="00D637B2"/>
    <w:rsid w:val="00D6386F"/>
    <w:rsid w:val="00D66DDD"/>
    <w:rsid w:val="00D67EB7"/>
    <w:rsid w:val="00D70367"/>
    <w:rsid w:val="00D744A4"/>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3E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9A5"/>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www.bis.org/bcbs/publ/d532.htm" TargetMode="External" Id="rId26" /><Relationship Type="http://schemas.openxmlformats.org/officeDocument/2006/relationships/theme" Target="theme/theme1.xml" Id="rId39" /><Relationship Type="http://schemas.openxmlformats.org/officeDocument/2006/relationships/hyperlink" Target="https://www.fsb.org/uploads/P131022-1.pdf" TargetMode="External" Id="rId21" /><Relationship Type="http://schemas.openxmlformats.org/officeDocument/2006/relationships/hyperlink" Target="https://www.iais.org/uploads/2025/04/Application-Paper-on-the-supervision-of-climate-related-risks-in-the-insurance-sector.pdf" TargetMode="Externa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assets.adgm.com/download/assets/Consultation+Paper+No+1+of+2023+Draft+Principles.pdf/d5ff8a127a4011efa4bf4213e715ec49" TargetMode="External" Id="rId25" /><Relationship Type="http://schemas.openxmlformats.org/officeDocument/2006/relationships/hyperlink" Target="https://www.fsb.org/uploads/P151122.pdf" TargetMode="External" Id="rId33" /><Relationship Type="http://schemas.openxmlformats.org/officeDocument/2006/relationships/fontTable" Target="fontTable.xml" Id="rId38"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hyperlink" Target="https://www.bis.org/bcbs/publ/d518.htm"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u.ae/en/about-the-uae/strategies-initiatives-and-awards/strategies-plans-and-visions/environment-and-energy/the-uae-net-zero-2050-strategy" TargetMode="External" Id="rId24" /><Relationship Type="http://schemas.openxmlformats.org/officeDocument/2006/relationships/hyperlink" Target="https://www.fsb.org/2022/10/supervisory-and-regulatory-approaches-to-climate-related-risks-final-report/" TargetMode="External" Id="rId32" /><Relationship Type="http://schemas.openxmlformats.org/officeDocument/2006/relationships/header" Target="header4.xml" Id="rId37"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ww.moccae.gov.ae/assets/download/d3d90eba/National%20Climate%20Change%20Plan.pdf.aspx" TargetMode="External" Id="rId23" /><Relationship Type="http://schemas.openxmlformats.org/officeDocument/2006/relationships/hyperlink" Target="https://www.bis.org/bcbs/publ/d502.htm" TargetMode="External" Id="rId28" /><Relationship Type="http://schemas.openxmlformats.org/officeDocument/2006/relationships/hyperlink" Target="https://www.ngfs.net/en/publications-and-statistics/publications/guide-supervisors-integrating-climate-related-and-environmental-risks-prudential-supervision" TargetMode="External" Id="rId36" /><Relationship Type="http://schemas.openxmlformats.org/officeDocument/2006/relationships/endnotes" Target="endnotes.xml" Id="rId10" /><Relationship Type="http://schemas.openxmlformats.org/officeDocument/2006/relationships/hyperlink" Target="https://rulebook.centralbank.ae/en/rulebook/principles-effective-management-climate-related-financial-risks" TargetMode="External" Id="rId19" /><Relationship Type="http://schemas.openxmlformats.org/officeDocument/2006/relationships/hyperlink" Target="https://www.bis.org/bcbs/publ/d543.htm"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u.ae/en/about-the-uae/strategies-initiatives-and-awards/strategies-plans-and-visions/environment-and-energy/the-uaes-green-agenda-2030" TargetMode="External" Id="rId22" /><Relationship Type="http://schemas.openxmlformats.org/officeDocument/2006/relationships/hyperlink" Target="https://www.ngfs.net/sites/default/files/medias/documents/ngfs_guide_for_supervisors.pdf" TargetMode="External" Id="rId27" /><Relationship Type="http://schemas.openxmlformats.org/officeDocument/2006/relationships/hyperlink" Target="https://www.bis.org/bcbs/publ/d517.pdf" TargetMode="External" Id="rId30" /><Relationship Type="http://schemas.openxmlformats.org/officeDocument/2006/relationships/hyperlink" Target="https://www.ngfs.net/en/publications-and-statistics/publications/ngfs-climate-scenarios-central-banks-and-supervisors-0" TargetMode="External" Id="rId35"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EME_ACTIVE!816515227.1</documentid>
  <senderid>UFMEENAI</senderid>
  <senderemail>UMEENAI@REEDSMITH.COM</senderemail>
  <lastmodified>2025-07-14T23:32:00.0000000+04:00</lastmodified>
  <database>EME_ACTIVE</database>
</properties>
</file>

<file path=customXML/itemProps5.xml><?xml version="1.0" encoding="utf-8"?>
<ds:datastoreItem xmlns:ds="http://schemas.openxmlformats.org/officeDocument/2006/customXml" ds:itemID="{620FF6BE-9E52-4AC7-B302-CC166163685F}">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113</Pages>
  <Words>24913</Words>
  <Characters>131790</Characters>
  <Application>Microsoft Office Word</Application>
  <DocSecurity>0</DocSecurity>
  <Lines>3379</Lines>
  <Paragraphs>2009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Meenai, Umbreen F.</cp:lastModifiedBy>
  <cp:revision>15</cp:revision>
  <cp:lastPrinted>2025-03-21T00:14:00Z</cp:lastPrinted>
  <dcterms:created xsi:type="dcterms:W3CDTF">2025-07-07T07:16:00Z</dcterms:created>
  <dcterms:modified xsi:type="dcterms:W3CDTF">2025-07-14T19:32:00Z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umentNumber">
    <vt:lpwstr>816515227</vt:lpwstr>
  </property>
  <property fmtid="{D5CDD505-2E9C-101B-9397-08002B2CF9AE}" pid="5" name="DocumentVersion">
    <vt:lpwstr>1</vt:lpwstr>
  </property>
  <property fmtid="{D5CDD505-2E9C-101B-9397-08002B2CF9AE}" pid="6" name="ClientNumber">
    <vt:lpwstr>999947</vt:lpwstr>
  </property>
  <property fmtid="{D5CDD505-2E9C-101B-9397-08002B2CF9AE}" pid="7" name="MatterNumber">
    <vt:lpwstr>20596</vt:lpwstr>
  </property>
  <property fmtid="{D5CDD505-2E9C-101B-9397-08002B2CF9AE}" pid="8" name="ClientName">
    <vt:lpwstr>PG Collaborative Workspaces</vt:lpwstr>
  </property>
  <property fmtid="{D5CDD505-2E9C-101B-9397-08002B2CF9AE}" pid="9" name="MatterName">
    <vt:lpwstr>EME Pending Matters</vt:lpwstr>
  </property>
  <property fmtid="{D5CDD505-2E9C-101B-9397-08002B2CF9AE}" pid="10" name="DatabaseName">
    <vt:lpwstr>EME_ACTIVE</vt:lpwstr>
  </property>
  <property fmtid="{D5CDD505-2E9C-101B-9397-08002B2CF9AE}" pid="11" name="TypistName">
    <vt:lpwstr>UFMEENAI</vt:lpwstr>
  </property>
  <property fmtid="{D5CDD505-2E9C-101B-9397-08002B2CF9AE}" pid="12" name="AuthorName">
    <vt:lpwstr>UFMEENAI</vt:lpwstr>
  </property>
  <property fmtid="{D5CDD505-2E9C-101B-9397-08002B2CF9AE}" pid="13" name="InUseBy">
    <vt:lpwstr/>
  </property>
  <property fmtid="{D5CDD505-2E9C-101B-9397-08002B2CF9AE}" pid="14" name="EditDate">
    <vt:lpwstr>1/1/0001 12:00:00 AM</vt:lpwstr>
  </property>
  <property fmtid="{D5CDD505-2E9C-101B-9397-08002B2CF9AE}" pid="15" name="EditTime">
    <vt:lpwstr/>
  </property>
  <property fmtid="{D5CDD505-2E9C-101B-9397-08002B2CF9AE}" pid="16" name="IsiManageWork">
    <vt:lpwstr>True</vt:lpwstr>
  </property>
</Properties>
</file>